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07" w:rsidRDefault="00AE4607" w:rsidP="00AE4607">
      <w:pPr>
        <w:jc w:val="center"/>
      </w:pPr>
      <w:r>
        <w:rPr>
          <w:noProof/>
          <w:lang w:eastAsia="el-GR"/>
        </w:rPr>
        <w:drawing>
          <wp:inline distT="0" distB="0" distL="0" distR="0">
            <wp:extent cx="470535" cy="470535"/>
            <wp:effectExtent l="0" t="0" r="5715" b="5715"/>
            <wp:docPr id="1" name="Εικόνα 1" descr="C:\Users\ioannidis.y\Dropbox\Coat_of_Arms_of_Greece_(Monochromatic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ioannidis.y\Dropbox\Coat_of_Arms_of_Greece_(Monochromatic)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607" w:rsidRPr="00D00AD1" w:rsidRDefault="00AE4607" w:rsidP="00AE4607">
      <w:pPr>
        <w:jc w:val="center"/>
        <w:rPr>
          <w:b/>
          <w:color w:val="1F497D"/>
        </w:rPr>
      </w:pPr>
      <w:r w:rsidRPr="00D00AD1">
        <w:rPr>
          <w:b/>
          <w:color w:val="1F497D"/>
        </w:rPr>
        <w:t>Υπουργείο Οικονομίας</w:t>
      </w:r>
      <w:r w:rsidRPr="003F0C40">
        <w:rPr>
          <w:b/>
          <w:color w:val="1F497D"/>
        </w:rPr>
        <w:t xml:space="preserve"> </w:t>
      </w:r>
      <w:r w:rsidRPr="00D00AD1">
        <w:rPr>
          <w:b/>
          <w:color w:val="1F497D"/>
        </w:rPr>
        <w:t xml:space="preserve">&amp;  Ανάπτυξης </w:t>
      </w:r>
    </w:p>
    <w:p w:rsidR="00AE4607" w:rsidRPr="00D00AD1" w:rsidRDefault="00AE4607" w:rsidP="00AE4607">
      <w:pPr>
        <w:spacing w:after="0"/>
        <w:jc w:val="center"/>
        <w:rPr>
          <w:b/>
          <w:color w:val="1F497D"/>
        </w:rPr>
      </w:pPr>
      <w:r w:rsidRPr="00D00AD1">
        <w:rPr>
          <w:b/>
          <w:color w:val="1F497D"/>
        </w:rPr>
        <w:t xml:space="preserve">Ειδική Γραμματεία Διαχείρισης Τομεακών Επιχειρησιακών Προγραμμάτων </w:t>
      </w:r>
    </w:p>
    <w:p w:rsidR="00AE4607" w:rsidRPr="00D00AD1" w:rsidRDefault="00AE4607" w:rsidP="00AE4607">
      <w:pPr>
        <w:jc w:val="center"/>
        <w:rPr>
          <w:b/>
          <w:color w:val="1F497D"/>
        </w:rPr>
      </w:pPr>
      <w:r w:rsidRPr="00D00AD1">
        <w:rPr>
          <w:b/>
          <w:color w:val="1F497D"/>
        </w:rPr>
        <w:t>του Ευρωπαϊκού Κοινωνικού Ταμείου</w:t>
      </w:r>
    </w:p>
    <w:p w:rsidR="00AE4607" w:rsidRPr="00D00AD1" w:rsidRDefault="00AE4607" w:rsidP="00AE4607">
      <w:pPr>
        <w:spacing w:after="0"/>
        <w:jc w:val="center"/>
        <w:rPr>
          <w:b/>
          <w:color w:val="1F497D"/>
        </w:rPr>
      </w:pPr>
      <w:r w:rsidRPr="00D00AD1">
        <w:rPr>
          <w:b/>
          <w:color w:val="1F497D"/>
        </w:rPr>
        <w:t xml:space="preserve">ΕΣΠΑ 2014-2020, </w:t>
      </w:r>
    </w:p>
    <w:p w:rsidR="00AE4607" w:rsidRPr="00D00AD1" w:rsidRDefault="00AE4607" w:rsidP="00AE4607">
      <w:pPr>
        <w:jc w:val="center"/>
        <w:rPr>
          <w:b/>
          <w:color w:val="1F497D"/>
        </w:rPr>
      </w:pPr>
      <w:r w:rsidRPr="00D00AD1">
        <w:rPr>
          <w:b/>
          <w:color w:val="1F497D"/>
        </w:rPr>
        <w:t>Ε.Π. Ανάπτυξη Ανθρώπινου Δυναμικού, Εκπαίδευση, Δια Βίου Μάθηση</w:t>
      </w:r>
    </w:p>
    <w:p w:rsidR="00AE4607" w:rsidRPr="00D00AD1" w:rsidRDefault="00AE4607" w:rsidP="00AE4607">
      <w:pPr>
        <w:jc w:val="center"/>
        <w:rPr>
          <w:rFonts w:ascii="Monotype Corsiva" w:hAnsi="Monotype Corsiva"/>
          <w:b/>
          <w:color w:val="1F497D"/>
          <w:spacing w:val="60"/>
          <w:sz w:val="32"/>
        </w:rPr>
      </w:pPr>
      <w:r w:rsidRPr="00D00AD1">
        <w:rPr>
          <w:rFonts w:ascii="Monotype Corsiva" w:hAnsi="Monotype Corsiva"/>
          <w:b/>
          <w:color w:val="1F497D"/>
          <w:spacing w:val="60"/>
          <w:sz w:val="32"/>
        </w:rPr>
        <w:t>«Μια ευκαιρία για όλους εμάς»</w:t>
      </w:r>
    </w:p>
    <w:p w:rsidR="00AE4607" w:rsidRDefault="00AE4607" w:rsidP="00AE4607">
      <w:pPr>
        <w:pBdr>
          <w:bottom w:val="single" w:sz="4" w:space="1" w:color="auto"/>
        </w:pBdr>
      </w:pPr>
    </w:p>
    <w:p w:rsidR="00AE4607" w:rsidRPr="00AE4607" w:rsidRDefault="00AE4607" w:rsidP="00AE4607">
      <w:pPr>
        <w:jc w:val="center"/>
        <w:rPr>
          <w:b/>
          <w:sz w:val="24"/>
        </w:rPr>
      </w:pPr>
      <w:r>
        <w:rPr>
          <w:b/>
          <w:sz w:val="24"/>
        </w:rPr>
        <w:t>ΑΝΑΚΟΙΝΩΣΗ-ΕΝΗΜΕΡΩΣΗ</w:t>
      </w:r>
    </w:p>
    <w:p w:rsidR="00AE4607" w:rsidRDefault="00AE4607" w:rsidP="00AE4607">
      <w:pPr>
        <w:jc w:val="center"/>
        <w:rPr>
          <w:b/>
        </w:rPr>
      </w:pPr>
      <w:r>
        <w:rPr>
          <w:b/>
        </w:rPr>
        <w:t xml:space="preserve">Στατιστικά </w:t>
      </w:r>
      <w:r w:rsidR="00F63C65">
        <w:rPr>
          <w:b/>
        </w:rPr>
        <w:t xml:space="preserve">στοιχεία </w:t>
      </w:r>
      <w:r>
        <w:rPr>
          <w:b/>
        </w:rPr>
        <w:t>των ερευνητικών προτάσεων που υποβλήθηκαν στο πλαίσιο της Πρόσκλησης</w:t>
      </w:r>
      <w:r w:rsidRPr="00F216A5">
        <w:rPr>
          <w:b/>
        </w:rPr>
        <w:t xml:space="preserve"> </w:t>
      </w:r>
      <w:r w:rsidRPr="00F216A5">
        <w:rPr>
          <w:b/>
          <w:bCs/>
        </w:rPr>
        <w:t>«Υποστήριξη ερευνητών με έμφαση στ</w:t>
      </w:r>
      <w:r>
        <w:rPr>
          <w:b/>
          <w:bCs/>
        </w:rPr>
        <w:t xml:space="preserve">ους νέους ερευνητές» με κωδικό </w:t>
      </w:r>
      <w:r w:rsidRPr="00F216A5">
        <w:rPr>
          <w:b/>
        </w:rPr>
        <w:t>ΕΔΒΜ34</w:t>
      </w:r>
    </w:p>
    <w:p w:rsidR="00AE4607" w:rsidRPr="00825D7E" w:rsidRDefault="00AE4607" w:rsidP="00AE4607">
      <w:pPr>
        <w:pBdr>
          <w:bottom w:val="single" w:sz="4" w:space="1" w:color="auto"/>
        </w:pBdr>
        <w:jc w:val="center"/>
        <w:rPr>
          <w:b/>
        </w:rPr>
      </w:pPr>
    </w:p>
    <w:p w:rsidR="00276710" w:rsidRDefault="00276710"/>
    <w:p w:rsidR="00D03CD4" w:rsidRDefault="00276710">
      <w:r>
        <w:t xml:space="preserve">Ολοκληρώθηκε η διαδικασία ταξινόμησης των ερευνητικών προτάσεων που υποβλήθηκαν στα πλαίσια της Πρόσκλησης </w:t>
      </w:r>
      <w:r w:rsidR="009525D1" w:rsidRPr="009525D1">
        <w:t xml:space="preserve">«Υποστήριξη ερευνητών με έμφαση στους νέους ερευνητές» με κωδικό ΕΔΒΜ34 του Επιχειρησιακού Προγράμματος «Ανάπτυξη Ανθρώπινου Δυναμικού, Εκπαίδευση και Δια Βίου Μάθηση» (ΕΣΠΑ 2014-2020) </w:t>
      </w:r>
      <w:r w:rsidR="00D03CD4">
        <w:t>και ξεκίνησε η διαδικασία αξιολόγησης η οποία</w:t>
      </w:r>
      <w:r w:rsidR="00E233B0">
        <w:t>,</w:t>
      </w:r>
      <w:r w:rsidR="00D03CD4">
        <w:t xml:space="preserve"> αναμένεται να διαρκέσει 2 μήνες.</w:t>
      </w:r>
      <w:r w:rsidR="007D7F08">
        <w:t xml:space="preserve"> </w:t>
      </w:r>
    </w:p>
    <w:p w:rsidR="007D7F08" w:rsidRDefault="007D7F08">
      <w:r>
        <w:t>Υπενθυμίζεται ότι:</w:t>
      </w:r>
    </w:p>
    <w:p w:rsidR="00A73E10" w:rsidRDefault="007D7F08" w:rsidP="00A73E10">
      <w:pPr>
        <w:ind w:left="720"/>
      </w:pPr>
      <w:r>
        <w:t xml:space="preserve">(α) η αξιολόγηση </w:t>
      </w:r>
      <w:r w:rsidR="00F63C65">
        <w:t>πραγματοποιείται</w:t>
      </w:r>
      <w:r>
        <w:t xml:space="preserve"> </w:t>
      </w:r>
      <w:r w:rsidR="00FB4363">
        <w:t>σε ειδική</w:t>
      </w:r>
      <w:r>
        <w:t xml:space="preserve"> </w:t>
      </w:r>
      <w:r w:rsidR="00FB4363">
        <w:t>ηλεκτρονική</w:t>
      </w:r>
      <w:r w:rsidR="009525D1">
        <w:t xml:space="preserve"> </w:t>
      </w:r>
      <w:r w:rsidR="00FB4363">
        <w:t>πλατφόρμα</w:t>
      </w:r>
      <w:r>
        <w:t xml:space="preserve"> που αναπτύχθηκε για το σκοπό αυτό η οποία</w:t>
      </w:r>
      <w:r w:rsidR="009525D1">
        <w:t>,</w:t>
      </w:r>
      <w:r>
        <w:t xml:space="preserve"> απαγορεύει εξωτερική επέμβαση από οποιονδήποτε εκτός από τους αξιολογητές. </w:t>
      </w:r>
      <w:r w:rsidR="002F1DE8">
        <w:t>Η</w:t>
      </w:r>
      <w:r>
        <w:t xml:space="preserve"> μεθοδολογία αξιολόγησης </w:t>
      </w:r>
      <w:r w:rsidR="009525D1">
        <w:t>περιγράφεται αναλυτικά</w:t>
      </w:r>
      <w:r w:rsidR="008F2A66" w:rsidRPr="008F2A66">
        <w:t xml:space="preserve"> </w:t>
      </w:r>
      <w:r w:rsidR="00FB4363">
        <w:t>στη</w:t>
      </w:r>
      <w:r w:rsidR="00A73E10">
        <w:t>ν ηλεκτρονική διεύθυνση:</w:t>
      </w:r>
    </w:p>
    <w:p w:rsidR="008F2A66" w:rsidRPr="008F2A66" w:rsidRDefault="00FB4363" w:rsidP="00A73E10">
      <w:pPr>
        <w:ind w:left="720"/>
      </w:pPr>
      <w:r>
        <w:t xml:space="preserve"> </w:t>
      </w:r>
      <w:hyperlink r:id="rId8" w:history="1">
        <w:r w:rsidRPr="00327625">
          <w:rPr>
            <w:rStyle w:val="-"/>
          </w:rPr>
          <w:t>http://www.edulll.gr/wpcontent/uploads/2017/02/methodologia_axiologisis_edvm34.pdf</w:t>
        </w:r>
      </w:hyperlink>
    </w:p>
    <w:p w:rsidR="007D7F08" w:rsidRDefault="00E233B0" w:rsidP="00FB4363">
      <w:pPr>
        <w:ind w:left="720"/>
      </w:pPr>
      <w:r>
        <w:t xml:space="preserve">(β) </w:t>
      </w:r>
      <w:r w:rsidR="007D7F08">
        <w:t>η κατανομή του διαθέσιμου π</w:t>
      </w:r>
      <w:r w:rsidR="008F2A66">
        <w:t>ροϋπολογισμού</w:t>
      </w:r>
      <w:r w:rsidR="007D7F08">
        <w:t xml:space="preserve"> ανά επιστημονικό πεδίο θα γίνει μετά την ολοκλήρωση της αξιολόγησης βάσει μεθοδολογίας που διασφαλίζει τις ίδιες πιθανότητες επιτυχίας σε όλα τα επιστημονικά πεδία (βλ. </w:t>
      </w:r>
      <w:r w:rsidR="00BA4512">
        <w:t>παράγραφο</w:t>
      </w:r>
      <w:r w:rsidR="007D7F08">
        <w:t xml:space="preserve"> </w:t>
      </w:r>
      <w:r>
        <w:t>1.33</w:t>
      </w:r>
      <w:r w:rsidR="007D7F08">
        <w:t xml:space="preserve"> της Πρόσκλησης).</w:t>
      </w:r>
    </w:p>
    <w:p w:rsidR="007D7F08" w:rsidRDefault="007D7F08">
      <w:r>
        <w:t xml:space="preserve">Σε ό,τι αφορά </w:t>
      </w:r>
      <w:r w:rsidR="009417C4">
        <w:t>σ</w:t>
      </w:r>
      <w:r>
        <w:t xml:space="preserve">τις </w:t>
      </w:r>
      <w:r w:rsidR="009417C4">
        <w:t>ερευνητικές προτάσεις</w:t>
      </w:r>
      <w:r>
        <w:t>:</w:t>
      </w:r>
    </w:p>
    <w:p w:rsidR="00276710" w:rsidRDefault="00276710" w:rsidP="007D7F08">
      <w:pPr>
        <w:pStyle w:val="a3"/>
        <w:numPr>
          <w:ilvl w:val="0"/>
          <w:numId w:val="1"/>
        </w:numPr>
        <w:ind w:left="714" w:hanging="357"/>
        <w:contextualSpacing w:val="0"/>
      </w:pPr>
      <w:r>
        <w:t xml:space="preserve">Συνολικά υποβλήθηκαν 2.815 </w:t>
      </w:r>
      <w:r w:rsidR="003171B1">
        <w:t xml:space="preserve">έγκυρες </w:t>
      </w:r>
      <w:bookmarkStart w:id="0" w:name="_GoBack"/>
      <w:bookmarkEnd w:id="0"/>
      <w:r w:rsidR="00D03CD4">
        <w:t xml:space="preserve">ερευνητικές </w:t>
      </w:r>
      <w:r>
        <w:t xml:space="preserve">προτάσεις από </w:t>
      </w:r>
      <w:r w:rsidR="009417C4">
        <w:t xml:space="preserve">ερευνητικές </w:t>
      </w:r>
      <w:r>
        <w:t>ομάδες που αποτελούνται από 10.594 ερευνητές εκ των οποίων οι 2.815 είναι ακαδημαϊκοί σύμβουλοι, οι 4.896 είναι υποψήφιοι διδάκτορες και 2.883 είναι κάτοχοι διδακτορικού.</w:t>
      </w:r>
    </w:p>
    <w:p w:rsidR="00276710" w:rsidRDefault="00276710" w:rsidP="007D7F08">
      <w:pPr>
        <w:pStyle w:val="a3"/>
        <w:numPr>
          <w:ilvl w:val="0"/>
          <w:numId w:val="1"/>
        </w:numPr>
        <w:ind w:left="714" w:hanging="357"/>
        <w:contextualSpacing w:val="0"/>
      </w:pPr>
      <w:r>
        <w:t xml:space="preserve">Το μέσο μέγεθος </w:t>
      </w:r>
      <w:r w:rsidR="00D03CD4">
        <w:t xml:space="preserve">της ερευνητικής ομάδας </w:t>
      </w:r>
      <w:r>
        <w:t xml:space="preserve">(συμπεριλαμβανομένου του ακαδημαϊκού συμβούλου) </w:t>
      </w:r>
      <w:r w:rsidR="00D03CD4">
        <w:t>ανέρχεται σε</w:t>
      </w:r>
      <w:r>
        <w:t xml:space="preserve"> 3,8 άτομα. </w:t>
      </w:r>
    </w:p>
    <w:p w:rsidR="00276710" w:rsidRDefault="00276710" w:rsidP="007D7F08">
      <w:pPr>
        <w:pStyle w:val="a3"/>
        <w:numPr>
          <w:ilvl w:val="0"/>
          <w:numId w:val="1"/>
        </w:numPr>
        <w:ind w:left="714" w:hanging="357"/>
        <w:contextualSpacing w:val="0"/>
      </w:pPr>
      <w:r>
        <w:t>Ως προς την σύνθεση των ομάδων, οι 764</w:t>
      </w:r>
      <w:r w:rsidR="00D03CD4">
        <w:t xml:space="preserve"> (27,1%)</w:t>
      </w:r>
      <w:r>
        <w:t xml:space="preserve"> αποτελούνται μόνο από υποψήφιους διδάκτορες (συμπεριλαμβανομένου του ακαδημαϊκού συμβούλου), οι 251 </w:t>
      </w:r>
      <w:r w:rsidR="00D03CD4">
        <w:t xml:space="preserve">(8,9%) </w:t>
      </w:r>
      <w:r>
        <w:t>αποτελούνται μόνο από κατόχους διδακτορικού (συμπεριλαμβανομένου του ακαδημαϊκού συμβούλου) και οι 1.800</w:t>
      </w:r>
      <w:r w:rsidR="00D03CD4">
        <w:t xml:space="preserve"> (63,9%)</w:t>
      </w:r>
      <w:r>
        <w:t xml:space="preserve"> είναι μικτές.</w:t>
      </w:r>
    </w:p>
    <w:p w:rsidR="00276710" w:rsidRDefault="00276710" w:rsidP="007D7F08">
      <w:pPr>
        <w:pStyle w:val="a3"/>
        <w:numPr>
          <w:ilvl w:val="0"/>
          <w:numId w:val="1"/>
        </w:numPr>
        <w:ind w:left="714" w:hanging="357"/>
        <w:contextualSpacing w:val="0"/>
      </w:pPr>
      <w:r>
        <w:lastRenderedPageBreak/>
        <w:t xml:space="preserve">Ο συνολικός προϋπολογισμός των προτάσεων που υποβλήθηκαν ανέρχεται σε 148.564.150€ και ο μέσος προϋπολογισμός </w:t>
      </w:r>
      <w:r w:rsidR="00D03CD4">
        <w:t>ανά πρόταση ανέρχεται σε 52.</w:t>
      </w:r>
      <w:r w:rsidR="00E233B0">
        <w:t>776</w:t>
      </w:r>
      <w:r>
        <w:t>€</w:t>
      </w:r>
      <w:r w:rsidR="00D03CD4">
        <w:t>.</w:t>
      </w:r>
    </w:p>
    <w:p w:rsidR="00276710" w:rsidRDefault="00276710">
      <w:r>
        <w:t>Στον πίνακα</w:t>
      </w:r>
      <w:r w:rsidR="00D03CD4">
        <w:t xml:space="preserve"> που ακολουθεί παρουσιάζονται αναλυτικά τα </w:t>
      </w:r>
      <w:r>
        <w:t xml:space="preserve">μεγέθη ανά </w:t>
      </w:r>
      <w:r w:rsidR="00FB4363">
        <w:t>ομάδα περιφερειών</w:t>
      </w:r>
      <w:r>
        <w:t>.</w:t>
      </w:r>
    </w:p>
    <w:p w:rsidR="007D7F08" w:rsidRDefault="007D7F08"/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1276"/>
        <w:gridCol w:w="1250"/>
        <w:gridCol w:w="1160"/>
        <w:gridCol w:w="1276"/>
      </w:tblGrid>
      <w:tr w:rsidR="00D03CD4" w:rsidRPr="00D03CD4" w:rsidTr="00D03CD4">
        <w:trPr>
          <w:trHeight w:val="300"/>
          <w:jc w:val="center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left"/>
              <w:rPr>
                <w:rFonts w:cstheme="minorHAnsi"/>
                <w:sz w:val="16"/>
                <w:szCs w:val="16"/>
                <w:lang w:eastAsia="en-GB"/>
              </w:rPr>
            </w:pPr>
          </w:p>
        </w:tc>
        <w:tc>
          <w:tcPr>
            <w:tcW w:w="3686" w:type="dxa"/>
            <w:gridSpan w:val="3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b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b/>
                <w:color w:val="000000"/>
                <w:sz w:val="16"/>
                <w:szCs w:val="16"/>
                <w:lang w:val="en-GB" w:eastAsia="en-GB"/>
              </w:rPr>
              <w:t>ΚΑΤΗΓΟΡΙΑ ΠΕΡΙΦΕΡΕΙΩΝ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ΣΥΝΟΛΟ</w:t>
            </w:r>
          </w:p>
        </w:tc>
      </w:tr>
      <w:tr w:rsidR="00D03CD4" w:rsidRPr="00D03CD4" w:rsidTr="00874677">
        <w:trPr>
          <w:trHeight w:val="1040"/>
          <w:jc w:val="center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left"/>
              <w:rPr>
                <w:rFonts w:cstheme="minorHAnsi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b/>
                <w:bCs/>
                <w:color w:val="000000"/>
                <w:sz w:val="16"/>
                <w:szCs w:val="16"/>
                <w:lang w:eastAsia="en-GB"/>
              </w:rPr>
              <w:t>Α</w:t>
            </w:r>
            <w:r w:rsidRPr="00276710">
              <w:rPr>
                <w:rFonts w:cstheme="minorHAnsi"/>
                <w:b/>
                <w:bCs/>
                <w:color w:val="000000"/>
                <w:sz w:val="16"/>
                <w:szCs w:val="16"/>
                <w:lang w:eastAsia="en-GB"/>
              </w:rPr>
              <w:br/>
            </w:r>
            <w:r w:rsidRPr="00276710">
              <w:rPr>
                <w:rFonts w:cstheme="minorHAnsi"/>
                <w:b/>
                <w:bCs/>
                <w:color w:val="000000"/>
                <w:sz w:val="12"/>
                <w:szCs w:val="16"/>
                <w:lang w:eastAsia="en-GB"/>
              </w:rPr>
              <w:t xml:space="preserve">Αν. Μακεδονία &amp; Θράκη, </w:t>
            </w:r>
            <w:proofErr w:type="spellStart"/>
            <w:r w:rsidRPr="00276710">
              <w:rPr>
                <w:rFonts w:cstheme="minorHAnsi"/>
                <w:b/>
                <w:bCs/>
                <w:color w:val="000000"/>
                <w:sz w:val="12"/>
                <w:szCs w:val="16"/>
                <w:lang w:eastAsia="en-GB"/>
              </w:rPr>
              <w:t>Κεν</w:t>
            </w:r>
            <w:proofErr w:type="spellEnd"/>
            <w:r w:rsidRPr="00276710">
              <w:rPr>
                <w:rFonts w:cstheme="minorHAnsi"/>
                <w:b/>
                <w:bCs/>
                <w:color w:val="000000"/>
                <w:sz w:val="12"/>
                <w:szCs w:val="16"/>
                <w:lang w:eastAsia="en-GB"/>
              </w:rPr>
              <w:t>. Μακεδονί</w:t>
            </w:r>
            <w:r w:rsidR="00874677">
              <w:rPr>
                <w:rFonts w:cstheme="minorHAnsi"/>
                <w:b/>
                <w:bCs/>
                <w:color w:val="000000"/>
                <w:sz w:val="12"/>
                <w:szCs w:val="16"/>
                <w:lang w:eastAsia="en-GB"/>
              </w:rPr>
              <w:t>α, Ήπειρος, Θεσσαλία, Δ. Ελλάδα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b/>
                <w:bCs/>
                <w:color w:val="000000"/>
                <w:sz w:val="16"/>
                <w:szCs w:val="16"/>
                <w:lang w:eastAsia="en-GB"/>
              </w:rPr>
              <w:t>Β</w:t>
            </w:r>
            <w:r w:rsidRPr="00276710">
              <w:rPr>
                <w:rFonts w:cstheme="minorHAnsi"/>
                <w:b/>
                <w:bCs/>
                <w:color w:val="000000"/>
                <w:sz w:val="16"/>
                <w:szCs w:val="16"/>
                <w:lang w:eastAsia="en-GB"/>
              </w:rPr>
              <w:br/>
            </w:r>
            <w:r w:rsidRPr="00276710">
              <w:rPr>
                <w:rFonts w:cstheme="minorHAnsi"/>
                <w:b/>
                <w:bCs/>
                <w:color w:val="000000"/>
                <w:sz w:val="12"/>
                <w:szCs w:val="16"/>
                <w:lang w:eastAsia="en-GB"/>
              </w:rPr>
              <w:t xml:space="preserve">Δ. Μακεδονία, Ιόνια Νησιά, Πελοπόννησος, Βόρειο Αιγαίο, Κρήτη, Στ. </w:t>
            </w:r>
            <w:proofErr w:type="spellStart"/>
            <w:r w:rsidRPr="00276710">
              <w:rPr>
                <w:rFonts w:cstheme="minorHAnsi"/>
                <w:b/>
                <w:bCs/>
                <w:color w:val="000000"/>
                <w:sz w:val="12"/>
                <w:szCs w:val="16"/>
                <w:lang w:val="en-GB" w:eastAsia="en-GB"/>
              </w:rPr>
              <w:t>Ελλάδα</w:t>
            </w:r>
            <w:proofErr w:type="spellEnd"/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Γ</w:t>
            </w:r>
            <w:r w:rsidRPr="00276710"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proofErr w:type="spellStart"/>
            <w:r w:rsidRPr="00276710">
              <w:rPr>
                <w:rFonts w:cstheme="minorHAnsi"/>
                <w:b/>
                <w:bCs/>
                <w:color w:val="000000"/>
                <w:sz w:val="12"/>
                <w:szCs w:val="16"/>
                <w:lang w:val="en-GB" w:eastAsia="en-GB"/>
              </w:rPr>
              <w:t>Αττική</w:t>
            </w:r>
            <w:proofErr w:type="spellEnd"/>
            <w:r w:rsidRPr="00276710">
              <w:rPr>
                <w:rFonts w:cstheme="minorHAnsi"/>
                <w:b/>
                <w:bCs/>
                <w:color w:val="000000"/>
                <w:sz w:val="12"/>
                <w:szCs w:val="16"/>
                <w:lang w:val="en-GB" w:eastAsia="en-GB"/>
              </w:rPr>
              <w:t xml:space="preserve">, </w:t>
            </w:r>
            <w:proofErr w:type="spellStart"/>
            <w:r w:rsidRPr="00276710">
              <w:rPr>
                <w:rFonts w:cstheme="minorHAnsi"/>
                <w:b/>
                <w:bCs/>
                <w:color w:val="000000"/>
                <w:sz w:val="12"/>
                <w:szCs w:val="16"/>
                <w:lang w:val="en-GB" w:eastAsia="en-GB"/>
              </w:rPr>
              <w:t>Νότιο</w:t>
            </w:r>
            <w:proofErr w:type="spellEnd"/>
            <w:r w:rsidRPr="00276710">
              <w:rPr>
                <w:rFonts w:cstheme="minorHAnsi"/>
                <w:b/>
                <w:bCs/>
                <w:color w:val="000000"/>
                <w:sz w:val="12"/>
                <w:szCs w:val="16"/>
                <w:lang w:val="en-GB" w:eastAsia="en-GB"/>
              </w:rPr>
              <w:t xml:space="preserve"> </w:t>
            </w:r>
            <w:proofErr w:type="spellStart"/>
            <w:r w:rsidRPr="00276710">
              <w:rPr>
                <w:rFonts w:cstheme="minorHAnsi"/>
                <w:b/>
                <w:bCs/>
                <w:color w:val="000000"/>
                <w:sz w:val="12"/>
                <w:szCs w:val="16"/>
                <w:lang w:val="en-GB" w:eastAsia="en-GB"/>
              </w:rPr>
              <w:t>Αιγαίο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03CD4" w:rsidRPr="00D03CD4" w:rsidTr="00D03CD4">
        <w:trPr>
          <w:trHeight w:val="300"/>
          <w:jc w:val="center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276710" w:rsidRPr="00276710" w:rsidRDefault="00D03CD4" w:rsidP="00D03CD4">
            <w:pPr>
              <w:spacing w:before="0" w:after="0"/>
              <w:jc w:val="left"/>
              <w:rPr>
                <w:rFonts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03CD4">
              <w:rPr>
                <w:rFonts w:cstheme="minorHAnsi"/>
                <w:b/>
                <w:bCs/>
                <w:color w:val="000000"/>
                <w:sz w:val="16"/>
                <w:szCs w:val="16"/>
                <w:lang w:eastAsia="en-GB"/>
              </w:rPr>
              <w:t>Υποβληθείσες</w:t>
            </w:r>
            <w:r w:rsidR="00276710" w:rsidRPr="00276710">
              <w:rPr>
                <w:rFonts w:cstheme="minorHAnsi"/>
                <w:b/>
                <w:bCs/>
                <w:color w:val="000000"/>
                <w:sz w:val="16"/>
                <w:szCs w:val="16"/>
                <w:lang w:eastAsia="en-GB"/>
              </w:rPr>
              <w:t xml:space="preserve"> προτάσεις εκ των οποίων…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6710" w:rsidRPr="00276710" w:rsidRDefault="00276710" w:rsidP="00D03CD4">
            <w:pPr>
              <w:spacing w:before="0"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1.387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276710" w:rsidRPr="00276710" w:rsidRDefault="00276710" w:rsidP="00D03CD4">
            <w:pPr>
              <w:spacing w:before="0"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485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76710" w:rsidRPr="00276710" w:rsidRDefault="00276710" w:rsidP="00D03CD4">
            <w:pPr>
              <w:spacing w:before="0"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943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6710" w:rsidRPr="00276710" w:rsidRDefault="00276710" w:rsidP="00D03CD4">
            <w:pPr>
              <w:spacing w:before="0"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2.815</w:t>
            </w:r>
          </w:p>
        </w:tc>
      </w:tr>
      <w:tr w:rsidR="00D03CD4" w:rsidRPr="00D03CD4" w:rsidTr="00D03CD4">
        <w:trPr>
          <w:trHeight w:val="300"/>
          <w:jc w:val="center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276710" w:rsidRPr="00276710" w:rsidRDefault="00D03CD4" w:rsidP="00D03CD4">
            <w:pPr>
              <w:spacing w:before="0" w:after="0"/>
              <w:jc w:val="left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03CD4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…</w:t>
            </w:r>
            <w:r w:rsidR="00276710"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Μαθηματικά &amp; Φυσικές Επιστήμες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6710" w:rsidRPr="00276710" w:rsidRDefault="00276710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eastAsia="en-GB"/>
              </w:rPr>
              <w:t>146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276710" w:rsidRPr="00276710" w:rsidRDefault="00276710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eastAsia="en-GB"/>
              </w:rPr>
              <w:t>51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76710" w:rsidRPr="00276710" w:rsidRDefault="00276710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eastAsia="en-GB"/>
              </w:rPr>
              <w:t>149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6710" w:rsidRPr="00276710" w:rsidRDefault="00276710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eastAsia="en-GB"/>
              </w:rPr>
              <w:t>346</w:t>
            </w:r>
          </w:p>
        </w:tc>
      </w:tr>
      <w:tr w:rsidR="00D03CD4" w:rsidRPr="00D03CD4" w:rsidTr="00D03CD4">
        <w:trPr>
          <w:trHeight w:val="300"/>
          <w:jc w:val="center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276710" w:rsidRPr="00276710" w:rsidRDefault="00D03CD4" w:rsidP="00D03CD4">
            <w:pPr>
              <w:spacing w:before="0" w:after="0"/>
              <w:jc w:val="left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03CD4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…</w:t>
            </w:r>
            <w:r w:rsidR="00276710"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Επιστήμες Μηχανικού και Τεχνολογία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6710" w:rsidRPr="00276710" w:rsidRDefault="00276710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eastAsia="en-GB"/>
              </w:rPr>
              <w:t>385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276710" w:rsidRPr="00276710" w:rsidRDefault="00276710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eastAsia="en-GB"/>
              </w:rPr>
              <w:t>120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76710" w:rsidRPr="00276710" w:rsidRDefault="00276710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eastAsia="en-GB"/>
              </w:rPr>
              <w:t>256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6710" w:rsidRPr="00276710" w:rsidRDefault="00276710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eastAsia="en-GB"/>
              </w:rPr>
              <w:t>761</w:t>
            </w:r>
          </w:p>
        </w:tc>
      </w:tr>
      <w:tr w:rsidR="00D03CD4" w:rsidRPr="00D03CD4" w:rsidTr="00D03CD4">
        <w:trPr>
          <w:trHeight w:val="300"/>
          <w:jc w:val="center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276710" w:rsidRPr="00276710" w:rsidRDefault="00D03CD4" w:rsidP="00D03CD4">
            <w:pPr>
              <w:spacing w:before="0" w:after="0"/>
              <w:jc w:val="left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03CD4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…</w:t>
            </w:r>
            <w:r w:rsidR="00276710"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Γεωργικές Επιστήμες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6710" w:rsidRPr="00276710" w:rsidRDefault="00276710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eastAsia="en-GB"/>
              </w:rPr>
              <w:t>110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276710" w:rsidRPr="00276710" w:rsidRDefault="00276710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76710" w:rsidRPr="00276710" w:rsidRDefault="00276710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eastAsia="en-GB"/>
              </w:rPr>
              <w:t>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6710" w:rsidRPr="00276710" w:rsidRDefault="00276710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eastAsia="en-GB"/>
              </w:rPr>
              <w:t>177</w:t>
            </w:r>
          </w:p>
        </w:tc>
      </w:tr>
      <w:tr w:rsidR="00D03CD4" w:rsidRPr="00D03CD4" w:rsidTr="00D03CD4">
        <w:trPr>
          <w:trHeight w:val="300"/>
          <w:jc w:val="center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276710" w:rsidRPr="00276710" w:rsidRDefault="00D03CD4" w:rsidP="00D03CD4">
            <w:pPr>
              <w:spacing w:before="0" w:after="0"/>
              <w:jc w:val="left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03CD4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…</w:t>
            </w:r>
            <w:r w:rsidR="00276710"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Ιατρικές Επιστήμες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6710" w:rsidRPr="00276710" w:rsidRDefault="00276710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eastAsia="en-GB"/>
              </w:rPr>
              <w:t>337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276710" w:rsidRPr="00276710" w:rsidRDefault="00276710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eastAsia="en-GB"/>
              </w:rPr>
              <w:t>90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76710" w:rsidRPr="00276710" w:rsidRDefault="00276710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eastAsia="en-GB"/>
              </w:rPr>
              <w:t>208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6710" w:rsidRPr="00276710" w:rsidRDefault="00276710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eastAsia="en-GB"/>
              </w:rPr>
              <w:t>635</w:t>
            </w:r>
          </w:p>
        </w:tc>
      </w:tr>
      <w:tr w:rsidR="00D03CD4" w:rsidRPr="00D03CD4" w:rsidTr="00D03CD4">
        <w:trPr>
          <w:trHeight w:val="300"/>
          <w:jc w:val="center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276710" w:rsidRPr="00276710" w:rsidRDefault="00D03CD4" w:rsidP="00D03CD4">
            <w:pPr>
              <w:spacing w:before="0" w:after="0"/>
              <w:jc w:val="left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03CD4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…</w:t>
            </w:r>
            <w:r w:rsidR="00276710"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Ανθρωπιστικές Επιστήμες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6710" w:rsidRPr="00276710" w:rsidRDefault="00276710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eastAsia="en-GB"/>
              </w:rPr>
              <w:t>129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276710" w:rsidRPr="00276710" w:rsidRDefault="00276710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eastAsia="en-GB"/>
              </w:rPr>
              <w:t>84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76710" w:rsidRPr="00276710" w:rsidRDefault="00276710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eastAsia="en-GB"/>
              </w:rPr>
              <w:t>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6710" w:rsidRPr="00276710" w:rsidRDefault="00276710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eastAsia="en-GB"/>
              </w:rPr>
              <w:t>309</w:t>
            </w:r>
          </w:p>
        </w:tc>
      </w:tr>
      <w:tr w:rsidR="00D03CD4" w:rsidRPr="00D03CD4" w:rsidTr="00D03CD4">
        <w:trPr>
          <w:trHeight w:val="300"/>
          <w:jc w:val="center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276710" w:rsidRPr="00276710" w:rsidRDefault="00D03CD4" w:rsidP="00D03CD4">
            <w:pPr>
              <w:spacing w:before="0" w:after="0"/>
              <w:jc w:val="left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03CD4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…</w:t>
            </w:r>
            <w:r w:rsidR="00276710"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Κοινωνικές Επιστήμες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6710" w:rsidRPr="00276710" w:rsidRDefault="00276710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eastAsia="en-GB"/>
              </w:rPr>
              <w:t>156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276710" w:rsidRPr="00276710" w:rsidRDefault="00276710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eastAsia="en-GB"/>
              </w:rPr>
              <w:t>86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76710" w:rsidRPr="00276710" w:rsidRDefault="00276710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eastAsia="en-GB"/>
              </w:rPr>
              <w:t>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6710" w:rsidRPr="00276710" w:rsidRDefault="00276710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eastAsia="en-GB"/>
              </w:rPr>
              <w:t>333</w:t>
            </w:r>
          </w:p>
        </w:tc>
      </w:tr>
      <w:tr w:rsidR="00D03CD4" w:rsidRPr="00D03CD4" w:rsidTr="00D03CD4">
        <w:trPr>
          <w:trHeight w:val="300"/>
          <w:jc w:val="center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276710" w:rsidRPr="00276710" w:rsidRDefault="00D03CD4" w:rsidP="00D03CD4">
            <w:pPr>
              <w:spacing w:before="0" w:after="0"/>
              <w:jc w:val="left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03CD4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…</w:t>
            </w:r>
            <w:r w:rsidR="00276710"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Οικονομικές &amp; νομικές επιστήμες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6710" w:rsidRPr="00276710" w:rsidRDefault="00276710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eastAsia="en-GB"/>
              </w:rPr>
              <w:t>124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276710" w:rsidRPr="00276710" w:rsidRDefault="00276710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76710" w:rsidRPr="00276710" w:rsidRDefault="00276710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eastAsia="en-GB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6710" w:rsidRPr="00276710" w:rsidRDefault="00276710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eastAsia="en-GB"/>
              </w:rPr>
              <w:t>254</w:t>
            </w:r>
          </w:p>
        </w:tc>
      </w:tr>
      <w:tr w:rsidR="00D03CD4" w:rsidRPr="007D7F08" w:rsidTr="007D7F08">
        <w:trPr>
          <w:trHeight w:val="53"/>
          <w:jc w:val="center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276710" w:rsidRPr="00276710" w:rsidRDefault="00276710" w:rsidP="00D03CD4">
            <w:pPr>
              <w:spacing w:before="0" w:after="0"/>
              <w:jc w:val="left"/>
              <w:rPr>
                <w:rFonts w:cstheme="minorHAnsi"/>
                <w:i/>
                <w:iCs/>
                <w:color w:val="000000"/>
                <w:sz w:val="6"/>
                <w:szCs w:val="16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6710" w:rsidRPr="00276710" w:rsidRDefault="00276710" w:rsidP="00D03CD4">
            <w:pPr>
              <w:spacing w:before="0" w:after="0"/>
              <w:jc w:val="center"/>
              <w:rPr>
                <w:rFonts w:cstheme="minorHAnsi"/>
                <w:sz w:val="6"/>
                <w:szCs w:val="16"/>
                <w:lang w:eastAsia="en-GB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276710" w:rsidRPr="00276710" w:rsidRDefault="00276710" w:rsidP="00D03CD4">
            <w:pPr>
              <w:spacing w:before="0" w:after="0"/>
              <w:jc w:val="center"/>
              <w:rPr>
                <w:rFonts w:cstheme="minorHAnsi"/>
                <w:sz w:val="6"/>
                <w:szCs w:val="16"/>
                <w:lang w:eastAsia="en-GB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76710" w:rsidRPr="00276710" w:rsidRDefault="00276710" w:rsidP="00D03CD4">
            <w:pPr>
              <w:spacing w:before="0" w:after="0"/>
              <w:jc w:val="center"/>
              <w:rPr>
                <w:rFonts w:cstheme="minorHAnsi"/>
                <w:sz w:val="6"/>
                <w:szCs w:val="16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6710" w:rsidRPr="00276710" w:rsidRDefault="00276710" w:rsidP="00D03CD4">
            <w:pPr>
              <w:spacing w:before="0" w:after="0"/>
              <w:jc w:val="center"/>
              <w:rPr>
                <w:rFonts w:cstheme="minorHAnsi"/>
                <w:sz w:val="6"/>
                <w:szCs w:val="16"/>
                <w:lang w:eastAsia="en-GB"/>
              </w:rPr>
            </w:pPr>
          </w:p>
        </w:tc>
      </w:tr>
      <w:tr w:rsidR="00D03CD4" w:rsidRPr="00D03CD4" w:rsidTr="00D03CD4">
        <w:trPr>
          <w:trHeight w:val="300"/>
          <w:jc w:val="center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left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03CD4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…</w:t>
            </w: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Μαθηματικά &amp; Φυσικές Επιστήμες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10,5%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10,5%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15,8%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12,3%</w:t>
            </w:r>
          </w:p>
        </w:tc>
      </w:tr>
      <w:tr w:rsidR="00D03CD4" w:rsidRPr="00D03CD4" w:rsidTr="00D03CD4">
        <w:trPr>
          <w:trHeight w:val="300"/>
          <w:jc w:val="center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left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03CD4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…</w:t>
            </w: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Επιστήμες Μηχανικού και Τεχνολογία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27,8%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24,7%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27,1%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27,0%</w:t>
            </w:r>
          </w:p>
        </w:tc>
      </w:tr>
      <w:tr w:rsidR="00D03CD4" w:rsidRPr="00D03CD4" w:rsidTr="00D03CD4">
        <w:trPr>
          <w:trHeight w:val="300"/>
          <w:jc w:val="center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left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03CD4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…</w:t>
            </w: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Γεωργικές Επιστήμες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7,9%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3,3%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5,4%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6,3%</w:t>
            </w:r>
          </w:p>
        </w:tc>
      </w:tr>
      <w:tr w:rsidR="00D03CD4" w:rsidRPr="00D03CD4" w:rsidTr="00D03CD4">
        <w:trPr>
          <w:trHeight w:val="300"/>
          <w:jc w:val="center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left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03CD4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…</w:t>
            </w: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Ιατρικές Επιστήμες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24,3%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18,6%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22,1%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22,6%</w:t>
            </w:r>
          </w:p>
        </w:tc>
      </w:tr>
      <w:tr w:rsidR="00D03CD4" w:rsidRPr="00D03CD4" w:rsidTr="00D03CD4">
        <w:trPr>
          <w:trHeight w:val="300"/>
          <w:jc w:val="center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left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03CD4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…</w:t>
            </w: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Ανθρωπιστικές Επιστήμες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9,3%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17,3%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10,2%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11,0%</w:t>
            </w:r>
          </w:p>
        </w:tc>
      </w:tr>
      <w:tr w:rsidR="00D03CD4" w:rsidRPr="00D03CD4" w:rsidTr="00D03CD4">
        <w:trPr>
          <w:trHeight w:val="300"/>
          <w:jc w:val="center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left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03CD4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…</w:t>
            </w: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Κοινωνικές Επιστήμες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11,2%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17,7%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9,7%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11,8%</w:t>
            </w:r>
          </w:p>
        </w:tc>
      </w:tr>
      <w:tr w:rsidR="00D03CD4" w:rsidRPr="00D03CD4" w:rsidTr="00D03CD4">
        <w:trPr>
          <w:trHeight w:val="300"/>
          <w:jc w:val="center"/>
        </w:trPr>
        <w:tc>
          <w:tcPr>
            <w:tcW w:w="2830" w:type="dxa"/>
            <w:shd w:val="clear" w:color="auto" w:fill="auto"/>
            <w:noWrap/>
            <w:vAlign w:val="center"/>
          </w:tcPr>
          <w:p w:rsidR="00D03CD4" w:rsidRPr="00276710" w:rsidRDefault="00D03CD4" w:rsidP="00D03CD4">
            <w:pPr>
              <w:spacing w:before="0" w:after="0"/>
              <w:jc w:val="left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03CD4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…</w:t>
            </w: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Οικονομικές &amp; νομικές επιστήμες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8,9%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7,8%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9,8%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9,0%</w:t>
            </w:r>
          </w:p>
        </w:tc>
      </w:tr>
      <w:tr w:rsidR="00D03CD4" w:rsidRPr="007D7F08" w:rsidTr="007D7F08">
        <w:trPr>
          <w:trHeight w:val="53"/>
          <w:jc w:val="center"/>
        </w:trPr>
        <w:tc>
          <w:tcPr>
            <w:tcW w:w="2830" w:type="dxa"/>
            <w:shd w:val="clear" w:color="auto" w:fill="auto"/>
            <w:noWrap/>
            <w:vAlign w:val="center"/>
          </w:tcPr>
          <w:p w:rsidR="00D03CD4" w:rsidRPr="007D7F08" w:rsidRDefault="00D03CD4" w:rsidP="00D03CD4">
            <w:pPr>
              <w:spacing w:before="0" w:after="0"/>
              <w:jc w:val="left"/>
              <w:rPr>
                <w:rFonts w:cstheme="minorHAnsi"/>
                <w:i/>
                <w:iCs/>
                <w:color w:val="000000"/>
                <w:sz w:val="6"/>
                <w:szCs w:val="16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03CD4" w:rsidRPr="007D7F08" w:rsidRDefault="00D03CD4" w:rsidP="00D03CD4">
            <w:pPr>
              <w:spacing w:before="0" w:after="0"/>
              <w:jc w:val="left"/>
              <w:rPr>
                <w:rFonts w:cstheme="minorHAnsi"/>
                <w:sz w:val="6"/>
                <w:szCs w:val="16"/>
                <w:lang w:eastAsia="en-GB"/>
              </w:rPr>
            </w:pP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D03CD4" w:rsidRPr="007D7F08" w:rsidRDefault="00D03CD4" w:rsidP="00D03CD4">
            <w:pPr>
              <w:spacing w:before="0" w:after="0"/>
              <w:jc w:val="left"/>
              <w:rPr>
                <w:rFonts w:cstheme="minorHAnsi"/>
                <w:sz w:val="6"/>
                <w:szCs w:val="16"/>
                <w:lang w:eastAsia="en-GB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D03CD4" w:rsidRPr="007D7F08" w:rsidRDefault="00D03CD4" w:rsidP="00D03CD4">
            <w:pPr>
              <w:spacing w:before="0" w:after="0"/>
              <w:jc w:val="left"/>
              <w:rPr>
                <w:rFonts w:cstheme="minorHAnsi"/>
                <w:sz w:val="6"/>
                <w:szCs w:val="16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03CD4" w:rsidRPr="007D7F08" w:rsidRDefault="00D03CD4" w:rsidP="00D03CD4">
            <w:pPr>
              <w:spacing w:before="0" w:after="0"/>
              <w:jc w:val="left"/>
              <w:rPr>
                <w:rFonts w:cstheme="minorHAnsi"/>
                <w:sz w:val="6"/>
                <w:szCs w:val="16"/>
                <w:lang w:eastAsia="en-GB"/>
              </w:rPr>
            </w:pPr>
          </w:p>
        </w:tc>
      </w:tr>
      <w:tr w:rsidR="00D03CD4" w:rsidRPr="00D03CD4" w:rsidTr="007D7F08">
        <w:trPr>
          <w:trHeight w:val="300"/>
          <w:jc w:val="center"/>
        </w:trPr>
        <w:tc>
          <w:tcPr>
            <w:tcW w:w="2830" w:type="dxa"/>
            <w:shd w:val="clear" w:color="auto" w:fill="auto"/>
            <w:noWrap/>
            <w:vAlign w:val="center"/>
          </w:tcPr>
          <w:p w:rsidR="00D03CD4" w:rsidRPr="00276710" w:rsidRDefault="00D03CD4" w:rsidP="00D03CD4">
            <w:pPr>
              <w:spacing w:before="0" w:after="0"/>
              <w:jc w:val="left"/>
              <w:rPr>
                <w:rFonts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03CD4">
              <w:rPr>
                <w:rFonts w:cstheme="minorHAnsi"/>
                <w:b/>
                <w:bCs/>
                <w:color w:val="000000"/>
                <w:sz w:val="16"/>
                <w:szCs w:val="16"/>
                <w:lang w:eastAsia="en-GB"/>
              </w:rPr>
              <w:t>Π</w:t>
            </w:r>
            <w:r w:rsidRPr="00276710">
              <w:rPr>
                <w:rFonts w:cstheme="minorHAnsi"/>
                <w:b/>
                <w:bCs/>
                <w:color w:val="000000"/>
                <w:sz w:val="16"/>
                <w:szCs w:val="16"/>
                <w:lang w:eastAsia="en-GB"/>
              </w:rPr>
              <w:t>ροϋπολογισμός υποβληθεισών προτάσεων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03CD4" w:rsidRPr="00276710" w:rsidRDefault="00D03CD4" w:rsidP="007D7F08">
            <w:pPr>
              <w:spacing w:before="0"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b/>
                <w:bCs/>
                <w:color w:val="000000"/>
                <w:sz w:val="16"/>
                <w:szCs w:val="16"/>
                <w:lang w:eastAsia="en-GB"/>
              </w:rPr>
              <w:t>72.701.650 €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03CD4" w:rsidRPr="00276710" w:rsidRDefault="00D03CD4" w:rsidP="007D7F08">
            <w:pPr>
              <w:spacing w:before="0"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b/>
                <w:bCs/>
                <w:color w:val="000000"/>
                <w:sz w:val="16"/>
                <w:szCs w:val="16"/>
                <w:lang w:eastAsia="en-GB"/>
              </w:rPr>
              <w:t>25.698.050 €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D03CD4" w:rsidRPr="00276710" w:rsidRDefault="00D03CD4" w:rsidP="007D7F08">
            <w:pPr>
              <w:spacing w:before="0"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b/>
                <w:bCs/>
                <w:color w:val="000000"/>
                <w:sz w:val="16"/>
                <w:szCs w:val="16"/>
                <w:lang w:eastAsia="en-GB"/>
              </w:rPr>
              <w:t>50.164.</w:t>
            </w:r>
            <w:r w:rsidRPr="00276710"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450 €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03CD4" w:rsidRPr="00276710" w:rsidRDefault="00D03CD4" w:rsidP="007D7F08">
            <w:pPr>
              <w:spacing w:before="0"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148.564.150 €</w:t>
            </w:r>
          </w:p>
        </w:tc>
      </w:tr>
      <w:tr w:rsidR="00D03CD4" w:rsidRPr="00D03CD4" w:rsidTr="007D7F08">
        <w:trPr>
          <w:trHeight w:val="300"/>
          <w:jc w:val="center"/>
        </w:trPr>
        <w:tc>
          <w:tcPr>
            <w:tcW w:w="2830" w:type="dxa"/>
            <w:shd w:val="clear" w:color="auto" w:fill="auto"/>
            <w:noWrap/>
            <w:vAlign w:val="center"/>
          </w:tcPr>
          <w:p w:rsidR="00D03CD4" w:rsidRPr="00276710" w:rsidRDefault="00D03CD4" w:rsidP="00D03CD4">
            <w:pPr>
              <w:spacing w:before="0" w:after="0"/>
              <w:jc w:val="left"/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276710"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Μέσος</w:t>
            </w:r>
            <w:proofErr w:type="spellEnd"/>
            <w:r w:rsidRPr="00276710"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276710"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προϋπολογισμός</w:t>
            </w:r>
            <w:proofErr w:type="spellEnd"/>
            <w:r w:rsidRPr="00276710"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276710"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πρότασης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03CD4" w:rsidRPr="00276710" w:rsidRDefault="00D03CD4" w:rsidP="007D7F08">
            <w:pPr>
              <w:spacing w:before="0"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52.416 €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03CD4" w:rsidRPr="00276710" w:rsidRDefault="00D03CD4" w:rsidP="007D7F08">
            <w:pPr>
              <w:spacing w:before="0"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52.986 €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D03CD4" w:rsidRPr="00276710" w:rsidRDefault="00D03CD4" w:rsidP="007D7F08">
            <w:pPr>
              <w:spacing w:before="0"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53.197 €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03CD4" w:rsidRPr="00276710" w:rsidRDefault="00D03CD4" w:rsidP="007D7F08">
            <w:pPr>
              <w:spacing w:before="0"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52.776 €</w:t>
            </w:r>
          </w:p>
        </w:tc>
      </w:tr>
      <w:tr w:rsidR="00D03CD4" w:rsidRPr="007D7F08" w:rsidTr="007D7F08">
        <w:trPr>
          <w:trHeight w:val="53"/>
          <w:jc w:val="center"/>
        </w:trPr>
        <w:tc>
          <w:tcPr>
            <w:tcW w:w="2830" w:type="dxa"/>
            <w:shd w:val="clear" w:color="auto" w:fill="auto"/>
            <w:noWrap/>
            <w:vAlign w:val="center"/>
          </w:tcPr>
          <w:p w:rsidR="00D03CD4" w:rsidRPr="007D7F08" w:rsidRDefault="00D03CD4" w:rsidP="00D03CD4">
            <w:pPr>
              <w:spacing w:before="0" w:after="0"/>
              <w:jc w:val="left"/>
              <w:rPr>
                <w:rFonts w:cstheme="minorHAnsi"/>
                <w:i/>
                <w:iCs/>
                <w:color w:val="000000"/>
                <w:sz w:val="6"/>
                <w:szCs w:val="16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03CD4" w:rsidRPr="007D7F08" w:rsidRDefault="00D03CD4" w:rsidP="00D03CD4">
            <w:pPr>
              <w:spacing w:before="0" w:after="0"/>
              <w:jc w:val="left"/>
              <w:rPr>
                <w:rFonts w:cstheme="minorHAnsi"/>
                <w:sz w:val="6"/>
                <w:szCs w:val="16"/>
                <w:lang w:eastAsia="en-GB"/>
              </w:rPr>
            </w:pP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D03CD4" w:rsidRPr="007D7F08" w:rsidRDefault="00D03CD4" w:rsidP="00D03CD4">
            <w:pPr>
              <w:spacing w:before="0" w:after="0"/>
              <w:jc w:val="left"/>
              <w:rPr>
                <w:rFonts w:cstheme="minorHAnsi"/>
                <w:sz w:val="6"/>
                <w:szCs w:val="16"/>
                <w:lang w:eastAsia="en-GB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D03CD4" w:rsidRPr="007D7F08" w:rsidRDefault="00D03CD4" w:rsidP="00D03CD4">
            <w:pPr>
              <w:spacing w:before="0" w:after="0"/>
              <w:jc w:val="left"/>
              <w:rPr>
                <w:rFonts w:cstheme="minorHAnsi"/>
                <w:sz w:val="6"/>
                <w:szCs w:val="16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03CD4" w:rsidRPr="007D7F08" w:rsidRDefault="00D03CD4" w:rsidP="00D03CD4">
            <w:pPr>
              <w:spacing w:before="0" w:after="0"/>
              <w:jc w:val="left"/>
              <w:rPr>
                <w:rFonts w:cstheme="minorHAnsi"/>
                <w:sz w:val="6"/>
                <w:szCs w:val="16"/>
                <w:lang w:eastAsia="en-GB"/>
              </w:rPr>
            </w:pPr>
          </w:p>
        </w:tc>
      </w:tr>
      <w:tr w:rsidR="00D03CD4" w:rsidRPr="00D03CD4" w:rsidTr="00D03CD4">
        <w:trPr>
          <w:trHeight w:val="300"/>
          <w:jc w:val="center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left"/>
              <w:rPr>
                <w:rFonts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b/>
                <w:bCs/>
                <w:color w:val="000000"/>
                <w:sz w:val="16"/>
                <w:szCs w:val="16"/>
                <w:lang w:eastAsia="en-GB"/>
              </w:rPr>
              <w:t>Αριθμός ερευνητών που υπέβαλαν πρόταση, εκ των οποίων…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5.198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1.834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3.562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10.594</w:t>
            </w:r>
          </w:p>
        </w:tc>
      </w:tr>
      <w:tr w:rsidR="00D03CD4" w:rsidRPr="00D03CD4" w:rsidTr="00D03CD4">
        <w:trPr>
          <w:trHeight w:val="300"/>
          <w:jc w:val="center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left"/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  <w:t>…</w:t>
            </w:r>
            <w:proofErr w:type="spellStart"/>
            <w:r w:rsidRPr="00276710"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  <w:t>Ακαδημαϊκοί</w:t>
            </w:r>
            <w:proofErr w:type="spellEnd"/>
            <w:r w:rsidRPr="00276710"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276710"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  <w:t>Σύμβουλοι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  <w:t>1.387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  <w:t>485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  <w:t>943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  <w:t>2.815</w:t>
            </w:r>
          </w:p>
        </w:tc>
      </w:tr>
      <w:tr w:rsidR="00D03CD4" w:rsidRPr="00D03CD4" w:rsidTr="00D03CD4">
        <w:trPr>
          <w:trHeight w:val="300"/>
          <w:jc w:val="center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left"/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  <w:t>…ΥΔ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  <w:t>2.415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  <w:t>858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  <w:t>1.623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  <w:t>4.896</w:t>
            </w:r>
          </w:p>
        </w:tc>
      </w:tr>
      <w:tr w:rsidR="00D03CD4" w:rsidRPr="00D03CD4" w:rsidTr="00D03CD4">
        <w:trPr>
          <w:trHeight w:val="300"/>
          <w:jc w:val="center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left"/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  <w:t>…post-doc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  <w:t>1.396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  <w:t>491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  <w:t>996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  <w:t>2.883</w:t>
            </w:r>
          </w:p>
        </w:tc>
      </w:tr>
      <w:tr w:rsidR="00D03CD4" w:rsidRPr="007D7F08" w:rsidTr="007D7F08">
        <w:trPr>
          <w:trHeight w:val="53"/>
          <w:jc w:val="center"/>
        </w:trPr>
        <w:tc>
          <w:tcPr>
            <w:tcW w:w="2830" w:type="dxa"/>
            <w:shd w:val="clear" w:color="auto" w:fill="auto"/>
            <w:noWrap/>
            <w:vAlign w:val="center"/>
          </w:tcPr>
          <w:p w:rsidR="00D03CD4" w:rsidRPr="007D7F08" w:rsidRDefault="00D03CD4" w:rsidP="00D03CD4">
            <w:pPr>
              <w:spacing w:before="0" w:after="0"/>
              <w:jc w:val="left"/>
              <w:rPr>
                <w:rFonts w:cstheme="minorHAnsi"/>
                <w:i/>
                <w:iCs/>
                <w:color w:val="000000"/>
                <w:sz w:val="6"/>
                <w:szCs w:val="16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03CD4" w:rsidRPr="007D7F08" w:rsidRDefault="00D03CD4" w:rsidP="00D03CD4">
            <w:pPr>
              <w:spacing w:before="0" w:after="0"/>
              <w:jc w:val="center"/>
              <w:rPr>
                <w:rFonts w:cstheme="minorHAnsi"/>
                <w:sz w:val="6"/>
                <w:szCs w:val="16"/>
                <w:lang w:eastAsia="en-GB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03CD4" w:rsidRPr="007D7F08" w:rsidRDefault="00D03CD4" w:rsidP="00D03CD4">
            <w:pPr>
              <w:spacing w:before="0" w:after="0"/>
              <w:jc w:val="center"/>
              <w:rPr>
                <w:rFonts w:cstheme="minorHAnsi"/>
                <w:sz w:val="6"/>
                <w:szCs w:val="16"/>
                <w:lang w:eastAsia="en-GB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D03CD4" w:rsidRPr="007D7F08" w:rsidRDefault="00D03CD4" w:rsidP="00D03CD4">
            <w:pPr>
              <w:spacing w:before="0" w:after="0"/>
              <w:jc w:val="center"/>
              <w:rPr>
                <w:rFonts w:cstheme="minorHAnsi"/>
                <w:sz w:val="6"/>
                <w:szCs w:val="16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03CD4" w:rsidRPr="007D7F08" w:rsidRDefault="00D03CD4" w:rsidP="00D03CD4">
            <w:pPr>
              <w:spacing w:before="0" w:after="0"/>
              <w:jc w:val="center"/>
              <w:rPr>
                <w:rFonts w:cstheme="minorHAnsi"/>
                <w:sz w:val="6"/>
                <w:szCs w:val="16"/>
                <w:lang w:eastAsia="en-GB"/>
              </w:rPr>
            </w:pPr>
          </w:p>
        </w:tc>
      </w:tr>
      <w:tr w:rsidR="00D03CD4" w:rsidRPr="00D03CD4" w:rsidTr="00D03CD4">
        <w:trPr>
          <w:trHeight w:val="255"/>
          <w:jc w:val="center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left"/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  <w:t>…</w:t>
            </w:r>
            <w:proofErr w:type="spellStart"/>
            <w:r w:rsidRPr="00276710"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  <w:t>Ακαδημαϊκοί</w:t>
            </w:r>
            <w:proofErr w:type="spellEnd"/>
            <w:r w:rsidRPr="00276710"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276710"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  <w:t>Σύμβουλοι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26,7%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26,4%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26,5%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26,6%</w:t>
            </w:r>
          </w:p>
        </w:tc>
      </w:tr>
      <w:tr w:rsidR="00D03CD4" w:rsidRPr="00D03CD4" w:rsidTr="00D03CD4">
        <w:trPr>
          <w:trHeight w:val="300"/>
          <w:jc w:val="center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left"/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  <w:t>…ΥΔ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>46,5%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>46,8%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>45,6%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>46,2%</w:t>
            </w:r>
          </w:p>
        </w:tc>
      </w:tr>
      <w:tr w:rsidR="00D03CD4" w:rsidRPr="00D03CD4" w:rsidTr="00D03CD4">
        <w:trPr>
          <w:trHeight w:val="300"/>
          <w:jc w:val="center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left"/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  <w:t>…post-doc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>26,9%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>26,8%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>28,0%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>27,2%</w:t>
            </w:r>
          </w:p>
        </w:tc>
      </w:tr>
    </w:tbl>
    <w:p w:rsidR="00276710" w:rsidRDefault="00276710"/>
    <w:p w:rsidR="00276710" w:rsidRDefault="00276710"/>
    <w:sectPr w:rsidR="00276710" w:rsidSect="00A97C6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289" w:rsidRDefault="00CC4289" w:rsidP="00AE4607">
      <w:pPr>
        <w:spacing w:before="0" w:after="0"/>
      </w:pPr>
      <w:r>
        <w:separator/>
      </w:r>
    </w:p>
  </w:endnote>
  <w:endnote w:type="continuationSeparator" w:id="0">
    <w:p w:rsidR="00CC4289" w:rsidRDefault="00CC4289" w:rsidP="00AE460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607" w:rsidRPr="00080A0C" w:rsidRDefault="00AE4607" w:rsidP="00AE4607">
    <w:pPr>
      <w:pStyle w:val="a6"/>
      <w:pBdr>
        <w:top w:val="single" w:sz="4" w:space="1" w:color="auto"/>
      </w:pBdr>
      <w:spacing w:before="240"/>
      <w:jc w:val="center"/>
      <w:rPr>
        <w:sz w:val="18"/>
      </w:rPr>
    </w:pPr>
    <w:r w:rsidRPr="00080A0C">
      <w:rPr>
        <w:sz w:val="18"/>
      </w:rPr>
      <w:t>Υπουργείο Οικονομίας</w:t>
    </w:r>
    <w:r>
      <w:rPr>
        <w:sz w:val="18"/>
      </w:rPr>
      <w:t xml:space="preserve"> &amp;</w:t>
    </w:r>
    <w:r w:rsidRPr="00080A0C">
      <w:rPr>
        <w:sz w:val="18"/>
      </w:rPr>
      <w:t xml:space="preserve"> </w:t>
    </w:r>
    <w:r>
      <w:rPr>
        <w:sz w:val="18"/>
      </w:rPr>
      <w:t>Ανάπτυξης</w:t>
    </w:r>
    <w:r w:rsidRPr="00080A0C">
      <w:rPr>
        <w:sz w:val="18"/>
      </w:rPr>
      <w:t xml:space="preserve"> </w:t>
    </w:r>
  </w:p>
  <w:p w:rsidR="00AE4607" w:rsidRPr="00080A0C" w:rsidRDefault="00AE4607" w:rsidP="00AE4607">
    <w:pPr>
      <w:pStyle w:val="a6"/>
      <w:jc w:val="center"/>
      <w:rPr>
        <w:sz w:val="18"/>
      </w:rPr>
    </w:pPr>
    <w:r w:rsidRPr="00080A0C">
      <w:rPr>
        <w:sz w:val="18"/>
      </w:rPr>
      <w:t>Ειδική Γραμματεία Διαχείρισης Τομεα</w:t>
    </w:r>
    <w:r>
      <w:rPr>
        <w:sz w:val="18"/>
      </w:rPr>
      <w:t xml:space="preserve">κών Επιχειρησιακών Προγραμμάτων </w:t>
    </w:r>
    <w:r w:rsidRPr="00080A0C">
      <w:rPr>
        <w:sz w:val="18"/>
      </w:rPr>
      <w:t>του Ευρωπαϊκού Κοινωνικού Ταμείου</w:t>
    </w:r>
  </w:p>
  <w:p w:rsidR="00AE4607" w:rsidRPr="00902A88" w:rsidRDefault="00AE4607" w:rsidP="00AE4607">
    <w:pPr>
      <w:pStyle w:val="a6"/>
      <w:jc w:val="center"/>
      <w:rPr>
        <w:sz w:val="18"/>
      </w:rPr>
    </w:pPr>
    <w:r w:rsidRPr="00080A0C">
      <w:rPr>
        <w:sz w:val="18"/>
      </w:rPr>
      <w:t xml:space="preserve">Κοραή 4, ΤΚ 10564 Αθήνα, </w:t>
    </w:r>
    <w:hyperlink r:id="rId1" w:history="1">
      <w:r w:rsidRPr="00080A0C">
        <w:rPr>
          <w:rStyle w:val="-"/>
          <w:sz w:val="18"/>
          <w:lang w:val="en-US"/>
        </w:rPr>
        <w:t>epekad</w:t>
      </w:r>
      <w:r w:rsidRPr="00080A0C">
        <w:rPr>
          <w:rStyle w:val="-"/>
          <w:sz w:val="18"/>
        </w:rPr>
        <w:t>.</w:t>
      </w:r>
      <w:r w:rsidRPr="00080A0C">
        <w:rPr>
          <w:rStyle w:val="-"/>
          <w:sz w:val="18"/>
          <w:lang w:val="en-US"/>
        </w:rPr>
        <w:t>s</w:t>
      </w:r>
      <w:r w:rsidRPr="00080A0C">
        <w:rPr>
          <w:rStyle w:val="-"/>
          <w:sz w:val="18"/>
        </w:rPr>
        <w:t>@</w:t>
      </w:r>
      <w:r w:rsidRPr="00080A0C">
        <w:rPr>
          <w:rStyle w:val="-"/>
          <w:sz w:val="18"/>
          <w:lang w:val="en-US"/>
        </w:rPr>
        <w:t>mou</w:t>
      </w:r>
      <w:r w:rsidRPr="00080A0C">
        <w:rPr>
          <w:rStyle w:val="-"/>
          <w:sz w:val="18"/>
        </w:rPr>
        <w:t>.</w:t>
      </w:r>
      <w:r w:rsidRPr="00080A0C">
        <w:rPr>
          <w:rStyle w:val="-"/>
          <w:sz w:val="18"/>
          <w:lang w:val="en-US"/>
        </w:rPr>
        <w:t>gr</w:t>
      </w:r>
    </w:hyperlink>
    <w:r>
      <w:rPr>
        <w:sz w:val="18"/>
      </w:rPr>
      <w:t>, 210-5201194-5</w:t>
    </w:r>
  </w:p>
  <w:p w:rsidR="00AE4607" w:rsidRPr="003F0C40" w:rsidRDefault="00AE4607" w:rsidP="00AE4607">
    <w:pPr>
      <w:pStyle w:val="a6"/>
      <w:ind w:left="-9" w:hanging="79"/>
    </w:pPr>
  </w:p>
  <w:p w:rsidR="00AE4607" w:rsidRDefault="00AE460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289" w:rsidRDefault="00CC4289" w:rsidP="00AE4607">
      <w:pPr>
        <w:spacing w:before="0" w:after="0"/>
      </w:pPr>
      <w:r>
        <w:separator/>
      </w:r>
    </w:p>
  </w:footnote>
  <w:footnote w:type="continuationSeparator" w:id="0">
    <w:p w:rsidR="00CC4289" w:rsidRDefault="00CC4289" w:rsidP="00AE4607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D5871"/>
    <w:multiLevelType w:val="hybridMultilevel"/>
    <w:tmpl w:val="28047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710"/>
    <w:rsid w:val="00016202"/>
    <w:rsid w:val="00042869"/>
    <w:rsid w:val="0009283F"/>
    <w:rsid w:val="000D0521"/>
    <w:rsid w:val="00242907"/>
    <w:rsid w:val="00276710"/>
    <w:rsid w:val="002F1DE8"/>
    <w:rsid w:val="003171B1"/>
    <w:rsid w:val="0039101E"/>
    <w:rsid w:val="003C2C05"/>
    <w:rsid w:val="004C0931"/>
    <w:rsid w:val="004F3A16"/>
    <w:rsid w:val="004F4151"/>
    <w:rsid w:val="005060D4"/>
    <w:rsid w:val="005434E6"/>
    <w:rsid w:val="00544DB9"/>
    <w:rsid w:val="00550454"/>
    <w:rsid w:val="005555E9"/>
    <w:rsid w:val="00562866"/>
    <w:rsid w:val="0057024E"/>
    <w:rsid w:val="005E1BC2"/>
    <w:rsid w:val="006221FA"/>
    <w:rsid w:val="00663DEE"/>
    <w:rsid w:val="00690C34"/>
    <w:rsid w:val="006C571B"/>
    <w:rsid w:val="00736ADD"/>
    <w:rsid w:val="00794CDD"/>
    <w:rsid w:val="007C6259"/>
    <w:rsid w:val="007D3EFC"/>
    <w:rsid w:val="007D7F08"/>
    <w:rsid w:val="007F7EC8"/>
    <w:rsid w:val="00801B61"/>
    <w:rsid w:val="00814DD1"/>
    <w:rsid w:val="00845E0F"/>
    <w:rsid w:val="00874677"/>
    <w:rsid w:val="008C2861"/>
    <w:rsid w:val="008F2A66"/>
    <w:rsid w:val="009113A7"/>
    <w:rsid w:val="009339D4"/>
    <w:rsid w:val="00936EBF"/>
    <w:rsid w:val="009417C4"/>
    <w:rsid w:val="00942693"/>
    <w:rsid w:val="00944C7C"/>
    <w:rsid w:val="00950D23"/>
    <w:rsid w:val="009525D1"/>
    <w:rsid w:val="00992BFB"/>
    <w:rsid w:val="009E0975"/>
    <w:rsid w:val="009E719A"/>
    <w:rsid w:val="00A73E10"/>
    <w:rsid w:val="00A97C6B"/>
    <w:rsid w:val="00AE4607"/>
    <w:rsid w:val="00B16381"/>
    <w:rsid w:val="00B2060B"/>
    <w:rsid w:val="00B3297C"/>
    <w:rsid w:val="00BA4512"/>
    <w:rsid w:val="00BF254A"/>
    <w:rsid w:val="00C70348"/>
    <w:rsid w:val="00C872BC"/>
    <w:rsid w:val="00C87BA4"/>
    <w:rsid w:val="00CA1199"/>
    <w:rsid w:val="00CC4289"/>
    <w:rsid w:val="00CD4BC3"/>
    <w:rsid w:val="00D03CD4"/>
    <w:rsid w:val="00D176DB"/>
    <w:rsid w:val="00D214B2"/>
    <w:rsid w:val="00D8733B"/>
    <w:rsid w:val="00E233B0"/>
    <w:rsid w:val="00E9196F"/>
    <w:rsid w:val="00EF4E7E"/>
    <w:rsid w:val="00F37FA9"/>
    <w:rsid w:val="00F43CE8"/>
    <w:rsid w:val="00F63C65"/>
    <w:rsid w:val="00F6637A"/>
    <w:rsid w:val="00F96F25"/>
    <w:rsid w:val="00FB4363"/>
    <w:rsid w:val="00FD5676"/>
    <w:rsid w:val="00FF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C3"/>
    <w:pPr>
      <w:spacing w:before="120" w:after="120" w:line="240" w:lineRule="auto"/>
      <w:jc w:val="both"/>
    </w:pPr>
    <w:rPr>
      <w:rFonts w:cs="Times New Roman"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F0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F2A66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E46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E4607"/>
    <w:rPr>
      <w:rFonts w:ascii="Tahoma" w:hAnsi="Tahoma" w:cs="Tahoma"/>
      <w:sz w:val="16"/>
      <w:szCs w:val="16"/>
      <w:lang w:val="el-GR"/>
    </w:rPr>
  </w:style>
  <w:style w:type="paragraph" w:styleId="a5">
    <w:name w:val="header"/>
    <w:basedOn w:val="a"/>
    <w:link w:val="Char0"/>
    <w:uiPriority w:val="99"/>
    <w:unhideWhenUsed/>
    <w:rsid w:val="00AE4607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Κεφαλίδα Char"/>
    <w:basedOn w:val="a0"/>
    <w:link w:val="a5"/>
    <w:uiPriority w:val="99"/>
    <w:rsid w:val="00AE4607"/>
    <w:rPr>
      <w:rFonts w:cs="Times New Roman"/>
      <w:szCs w:val="20"/>
      <w:lang w:val="el-GR"/>
    </w:rPr>
  </w:style>
  <w:style w:type="paragraph" w:styleId="a6">
    <w:name w:val="footer"/>
    <w:basedOn w:val="a"/>
    <w:link w:val="Char1"/>
    <w:uiPriority w:val="99"/>
    <w:unhideWhenUsed/>
    <w:rsid w:val="00AE4607"/>
    <w:pPr>
      <w:tabs>
        <w:tab w:val="center" w:pos="4153"/>
        <w:tab w:val="right" w:pos="8306"/>
      </w:tabs>
      <w:spacing w:before="0" w:after="0"/>
    </w:pPr>
  </w:style>
  <w:style w:type="character" w:customStyle="1" w:styleId="Char1">
    <w:name w:val="Υποσέλιδο Char"/>
    <w:basedOn w:val="a0"/>
    <w:link w:val="a6"/>
    <w:uiPriority w:val="99"/>
    <w:rsid w:val="00AE4607"/>
    <w:rPr>
      <w:rFonts w:cs="Times New Roman"/>
      <w:szCs w:val="20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C3"/>
    <w:pPr>
      <w:spacing w:before="120" w:after="120" w:line="240" w:lineRule="auto"/>
      <w:jc w:val="both"/>
    </w:pPr>
    <w:rPr>
      <w:rFonts w:cs="Times New Roman"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F0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F2A66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E46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E4607"/>
    <w:rPr>
      <w:rFonts w:ascii="Tahoma" w:hAnsi="Tahoma" w:cs="Tahoma"/>
      <w:sz w:val="16"/>
      <w:szCs w:val="16"/>
      <w:lang w:val="el-GR"/>
    </w:rPr>
  </w:style>
  <w:style w:type="paragraph" w:styleId="a5">
    <w:name w:val="header"/>
    <w:basedOn w:val="a"/>
    <w:link w:val="Char0"/>
    <w:uiPriority w:val="99"/>
    <w:unhideWhenUsed/>
    <w:rsid w:val="00AE4607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Κεφαλίδα Char"/>
    <w:basedOn w:val="a0"/>
    <w:link w:val="a5"/>
    <w:uiPriority w:val="99"/>
    <w:rsid w:val="00AE4607"/>
    <w:rPr>
      <w:rFonts w:cs="Times New Roman"/>
      <w:szCs w:val="20"/>
      <w:lang w:val="el-GR"/>
    </w:rPr>
  </w:style>
  <w:style w:type="paragraph" w:styleId="a6">
    <w:name w:val="footer"/>
    <w:basedOn w:val="a"/>
    <w:link w:val="Char1"/>
    <w:uiPriority w:val="99"/>
    <w:unhideWhenUsed/>
    <w:rsid w:val="00AE4607"/>
    <w:pPr>
      <w:tabs>
        <w:tab w:val="center" w:pos="4153"/>
        <w:tab w:val="right" w:pos="8306"/>
      </w:tabs>
      <w:spacing w:before="0" w:after="0"/>
    </w:pPr>
  </w:style>
  <w:style w:type="character" w:customStyle="1" w:styleId="Char1">
    <w:name w:val="Υποσέλιδο Char"/>
    <w:basedOn w:val="a0"/>
    <w:link w:val="a6"/>
    <w:uiPriority w:val="99"/>
    <w:rsid w:val="00AE4607"/>
    <w:rPr>
      <w:rFonts w:cs="Times New Roman"/>
      <w:szCs w:val="20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lll.gr/wpcontent/uploads/2017/02/methodologia_axiologisis_edvm34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pekad.s@mou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Ioannidis Yiorgos</dc:creator>
  <cp:lastModifiedBy>mpetropoulou</cp:lastModifiedBy>
  <cp:revision>2</cp:revision>
  <dcterms:created xsi:type="dcterms:W3CDTF">2017-04-28T10:25:00Z</dcterms:created>
  <dcterms:modified xsi:type="dcterms:W3CDTF">2017-04-28T10:25:00Z</dcterms:modified>
</cp:coreProperties>
</file>